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Theme="majorHAnsi" w:hAnsiTheme="majorHAnsi" w:cstheme="majorHAnsi"/>
          <w:b/>
          <w:sz w:val="34"/>
          <w:szCs w:val="34"/>
        </w:rPr>
      </w:pPr>
      <w:bookmarkStart w:id="0" w:name="_GoBack"/>
      <w:bookmarkEnd w:id="0"/>
      <w:r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>
      <w:pPr>
        <w:rPr>
          <w:szCs w:val="20"/>
          <w:u w:val="single"/>
        </w:rPr>
      </w:pPr>
    </w:p>
    <w:p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>
        <w:tc>
          <w:tcPr>
            <w:tcW w:w="4247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>
        <w:tc>
          <w:tcPr>
            <w:tcW w:w="4247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</w:t>
            </w:r>
          </w:p>
        </w:tc>
        <w:tc>
          <w:tcPr>
            <w:tcW w:w="4247" w:type="dxa"/>
          </w:tcPr>
          <w:p>
            <w:pPr>
              <w:rPr>
                <w:szCs w:val="20"/>
              </w:rPr>
            </w:pP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Zone 4 - Liège</w:t>
      </w:r>
    </w:p>
    <w:p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3"/>
        <w:gridCol w:w="1375"/>
        <w:gridCol w:w="2480"/>
        <w:gridCol w:w="866"/>
        <w:gridCol w:w="1062"/>
      </w:tblGrid>
      <w:tr>
        <w:trPr>
          <w:trHeight w:val="288"/>
        </w:trPr>
        <w:tc>
          <w:tcPr>
            <w:tcW w:w="2963" w:type="dxa"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</w:t>
            </w:r>
          </w:p>
        </w:tc>
        <w:tc>
          <w:tcPr>
            <w:tcW w:w="1375" w:type="dxa"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Localité</w:t>
            </w:r>
          </w:p>
        </w:tc>
        <w:tc>
          <w:tcPr>
            <w:tcW w:w="2480" w:type="dxa"/>
            <w:noWrap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Fonction</w:t>
            </w:r>
          </w:p>
        </w:tc>
        <w:tc>
          <w:tcPr>
            <w:tcW w:w="866" w:type="dxa"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Heures</w:t>
            </w:r>
          </w:p>
        </w:tc>
        <w:tc>
          <w:tcPr>
            <w:tcW w:w="810" w:type="dxa"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Choix</w:t>
            </w: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</w:t>
            </w:r>
            <w:proofErr w:type="spellStart"/>
            <w:r>
              <w:rPr>
                <w:szCs w:val="20"/>
              </w:rPr>
              <w:t>Fragnée</w:t>
            </w:r>
            <w:proofErr w:type="spellEnd"/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Haute Ecole Charlemagne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Home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Flemalle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Conservatoire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Conservatoire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Athénée royal Lucie Dujardin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Seraing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Haute Ecole Charlemagne</w:t>
            </w:r>
          </w:p>
        </w:tc>
        <w:tc>
          <w:tcPr>
            <w:tcW w:w="1375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88"/>
        </w:trPr>
        <w:tc>
          <w:tcPr>
            <w:tcW w:w="2963" w:type="dxa"/>
            <w:shd w:val="clear" w:color="auto" w:fill="FF5050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Institut "Etienne </w:t>
            </w:r>
            <w:proofErr w:type="spellStart"/>
            <w:r>
              <w:rPr>
                <w:szCs w:val="20"/>
              </w:rPr>
              <w:t>Meylaers</w:t>
            </w:r>
            <w:proofErr w:type="spellEnd"/>
            <w:r>
              <w:rPr>
                <w:szCs w:val="20"/>
              </w:rPr>
              <w:t xml:space="preserve">" – Enseignement spécialisé </w:t>
            </w:r>
          </w:p>
        </w:tc>
        <w:tc>
          <w:tcPr>
            <w:tcW w:w="1375" w:type="dxa"/>
            <w:shd w:val="clear" w:color="auto" w:fill="FF5050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Grivegnée</w:t>
            </w:r>
          </w:p>
        </w:tc>
        <w:tc>
          <w:tcPr>
            <w:tcW w:w="2480" w:type="dxa"/>
            <w:shd w:val="clear" w:color="auto" w:fill="FF5050"/>
            <w:noWrap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866" w:type="dxa"/>
            <w:shd w:val="clear" w:color="auto" w:fill="FF5050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  <w:shd w:val="clear" w:color="auto" w:fill="FF5050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</w:tbl>
    <w:p>
      <w:pPr>
        <w:rPr>
          <w:szCs w:val="20"/>
        </w:rPr>
      </w:pPr>
    </w:p>
    <w:p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>
        <w:rPr>
          <w:szCs w:val="20"/>
          <w:u w:val="single"/>
        </w:rPr>
        <w:t>Etablissements d'enseignement de Promotion Sociale</w:t>
      </w:r>
    </w:p>
    <w:p>
      <w:pPr>
        <w:rPr>
          <w:szCs w:val="20"/>
        </w:rPr>
      </w:pPr>
      <w:r>
        <w:rPr>
          <w:szCs w:val="20"/>
        </w:rPr>
        <w:t>NEANT</w:t>
      </w:r>
    </w:p>
    <w:p>
      <w:pPr>
        <w:rPr>
          <w:szCs w:val="20"/>
        </w:rPr>
      </w:pPr>
    </w:p>
    <w:p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>
        <w:rPr>
          <w:szCs w:val="20"/>
          <w:u w:val="single"/>
        </w:rPr>
        <w:t>Centre psycho-médicaux-sociaux (C.P.M.S.)</w:t>
      </w:r>
    </w:p>
    <w:p>
      <w:pPr>
        <w:rPr>
          <w:szCs w:val="20"/>
        </w:rPr>
      </w:pPr>
      <w:r>
        <w:rPr>
          <w:szCs w:val="20"/>
        </w:rPr>
        <w:t>NEANT</w:t>
      </w:r>
    </w:p>
    <w:p>
      <w:pPr>
        <w:rPr>
          <w:szCs w:val="20"/>
          <w:u w:val="single"/>
        </w:rPr>
      </w:pPr>
    </w:p>
    <w:p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>
        <w:rPr>
          <w:szCs w:val="20"/>
          <w:u w:val="single"/>
        </w:rPr>
        <w:t>Centre de dépaysement et de plein air (C.D.P.A.)</w:t>
      </w:r>
    </w:p>
    <w:p>
      <w:pPr>
        <w:rPr>
          <w:szCs w:val="20"/>
        </w:rPr>
      </w:pPr>
      <w:r>
        <w:rPr>
          <w:szCs w:val="20"/>
        </w:rPr>
        <w:t>NEANT</w:t>
      </w:r>
    </w:p>
    <w:p>
      <w:pPr>
        <w:rPr>
          <w:szCs w:val="20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>
        <w:tc>
          <w:tcPr>
            <w:tcW w:w="4247" w:type="dxa"/>
          </w:tcPr>
          <w:p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Signature:</w:t>
            </w:r>
          </w:p>
        </w:tc>
      </w:tr>
    </w:tbl>
    <w:p>
      <w:pPr>
        <w:rPr>
          <w:szCs w:val="20"/>
          <w:u w:val="single"/>
        </w:rPr>
      </w:pPr>
    </w:p>
    <w:p>
      <w:pPr>
        <w:rPr>
          <w:szCs w:val="20"/>
          <w:u w:val="single"/>
        </w:rPr>
      </w:pPr>
    </w:p>
    <w:p>
      <w:pPr>
        <w:ind w:left="360"/>
        <w:rPr>
          <w:szCs w:val="20"/>
        </w:rPr>
      </w:pPr>
    </w:p>
    <w:p>
      <w:pPr>
        <w:tabs>
          <w:tab w:val="left" w:pos="1584"/>
        </w:tabs>
      </w:pPr>
    </w:p>
    <w:sectPr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  <w:rPr>
        <w:sz w:val="18"/>
      </w:rPr>
    </w:pPr>
    <w:r>
      <w:rPr>
        <w:sz w:val="18"/>
      </w:rPr>
      <w:t xml:space="preserve">Demande de changement d’affectation </w:t>
    </w:r>
  </w:p>
  <w:p>
    <w:pPr>
      <w:pStyle w:val="En-tte"/>
      <w:jc w:val="center"/>
      <w:rPr>
        <w:sz w:val="18"/>
      </w:rPr>
    </w:pPr>
    <w:r>
      <w:rPr>
        <w:sz w:val="18"/>
      </w:rPr>
      <w:t>Membres du personnel de maîtrise, gens de métier et de service</w:t>
    </w:r>
  </w:p>
  <w:p>
    <w:pPr>
      <w:pStyle w:val="En-tte"/>
      <w:jc w:val="center"/>
      <w:rPr>
        <w:sz w:val="18"/>
      </w:rPr>
    </w:pPr>
    <w:r>
      <w:rPr>
        <w:sz w:val="18"/>
      </w:rPr>
      <w:t>2020  - addendum bis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RAVEZ Nathalie</cp:lastModifiedBy>
  <cp:revision>2</cp:revision>
  <dcterms:created xsi:type="dcterms:W3CDTF">2020-02-25T14:05:00Z</dcterms:created>
  <dcterms:modified xsi:type="dcterms:W3CDTF">2020-02-25T14:05:00Z</dcterms:modified>
</cp:coreProperties>
</file>